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72F"/>
          <w:lang w:eastAsia="ru-RU"/>
        </w:rPr>
      </w:pPr>
      <w:bookmarkStart w:id="0" w:name="_GoBack"/>
      <w:r w:rsidRPr="009F1F96">
        <w:rPr>
          <w:rFonts w:ascii="Times New Roman" w:eastAsia="Times New Roman" w:hAnsi="Times New Roman" w:cs="Times New Roman"/>
          <w:b/>
          <w:color w:val="22272F"/>
          <w:lang w:eastAsia="ru-RU"/>
        </w:rPr>
        <w:t>Приказ Министерства образования и науки РФ от 9 ноября 2015 г. N 1309</w:t>
      </w:r>
      <w:r w:rsidRPr="009F1F96">
        <w:rPr>
          <w:rFonts w:ascii="Times New Roman" w:eastAsia="Times New Roman" w:hAnsi="Times New Roman" w:cs="Times New Roman"/>
          <w:b/>
          <w:color w:val="22272F"/>
          <w:lang w:eastAsia="ru-RU"/>
        </w:rPr>
        <w:br/>
        <w:t>"Об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помощи"</w:t>
      </w:r>
    </w:p>
    <w:bookmarkEnd w:id="0"/>
    <w:p w:rsidR="009F1F96" w:rsidRPr="009F1F96" w:rsidRDefault="009F1F96" w:rsidP="009F1F96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lang w:eastAsia="ru-RU"/>
        </w:rPr>
      </w:pPr>
      <w:r w:rsidRPr="009F1F96">
        <w:rPr>
          <w:rFonts w:ascii="Times New Roman" w:eastAsia="Times New Roman" w:hAnsi="Times New Roman" w:cs="Times New Roman"/>
          <w:b/>
          <w:bCs/>
          <w:color w:val="3272C0"/>
          <w:lang w:eastAsia="ru-RU"/>
        </w:rPr>
        <w:t>С изменениями и дополнениями от:</w:t>
      </w:r>
    </w:p>
    <w:p w:rsidR="009F1F96" w:rsidRPr="009F1F96" w:rsidRDefault="009F1F96" w:rsidP="009F1F96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См. </w:t>
      </w:r>
      <w:hyperlink r:id="rId4" w:anchor="/document/71370654/entry/100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разъяснения</w:t>
        </w:r>
      </w:hyperlink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по вопросам исполнения настоящего приказа, направленные </w:t>
      </w:r>
      <w:hyperlink r:id="rId5" w:anchor="/document/71370654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письмом</w:t>
        </w:r>
      </w:hyperlink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</w:t>
      </w:r>
      <w:proofErr w:type="spellStart"/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Минобрнауки</w:t>
      </w:r>
      <w:proofErr w:type="spellEnd"/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 xml:space="preserve"> России от 12 февраля 2016 г. N ВК-270/07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 </w:t>
      </w:r>
      <w:hyperlink r:id="rId6" w:anchor="/document/70392898/entry/1527313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подпунктом 5.2.73(13)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Положения о Министерстве образования и науки Российской Федерации, утвержденного </w:t>
      </w:r>
      <w:hyperlink r:id="rId7" w:anchor="/document/70392898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постановлением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 N 27, ст. 3776; 2015, N 26, ст. 3898; N 43, ст. 5976), приказываю: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Утвердить по согласованию с Министерством труда и социальной защиты Российской Федерации прилагаемый 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"http://ivo.garant.ru/" \l "/document/71275174/entry/100" </w:instrText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  <w:r w:rsidRPr="009F1F96">
        <w:rPr>
          <w:rFonts w:ascii="Times New Roman" w:eastAsia="Times New Roman" w:hAnsi="Times New Roman" w:cs="Times New Roman"/>
          <w:color w:val="734C9B"/>
          <w:sz w:val="23"/>
          <w:szCs w:val="23"/>
          <w:lang w:eastAsia="ru-RU"/>
        </w:rPr>
        <w:t>Порядок</w:t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обеспечения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Настоящий приказ вступает в силу с 1 января 2016 г.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9F1F96" w:rsidRPr="009F1F96" w:rsidTr="009F1F96">
        <w:tc>
          <w:tcPr>
            <w:tcW w:w="3300" w:type="pct"/>
            <w:shd w:val="clear" w:color="auto" w:fill="FFFFFF"/>
            <w:vAlign w:val="bottom"/>
            <w:hideMark/>
          </w:tcPr>
          <w:p w:rsidR="009F1F96" w:rsidRPr="009F1F96" w:rsidRDefault="009F1F96" w:rsidP="009F1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F1F9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Министр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F1F96" w:rsidRPr="009F1F96" w:rsidRDefault="009F1F96" w:rsidP="009F1F9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9F1F9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Д.В. Ливанов</w:t>
            </w:r>
          </w:p>
        </w:tc>
      </w:tr>
    </w:tbl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8 декабря 2015 г.</w:t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Регистрационный N 40000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b/>
          <w:bCs/>
          <w:color w:val="22272F"/>
          <w:sz w:val="23"/>
          <w:szCs w:val="23"/>
          <w:lang w:eastAsia="ru-RU"/>
        </w:rPr>
        <w:t>Приложение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Порядок</w:t>
      </w:r>
      <w:r w:rsidRPr="009F1F9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 xml:space="preserve">обеспечения условий доступности для инвалидов объектов и предоставляемых услуг в сфере образования, а также оказания им при этом необходимой </w:t>
      </w:r>
      <w:proofErr w:type="gramStart"/>
      <w:r w:rsidRPr="009F1F9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помощи</w:t>
      </w:r>
      <w:r w:rsidRPr="009F1F9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(</w:t>
      </w:r>
      <w:proofErr w:type="gramEnd"/>
      <w:r w:rsidRPr="009F1F9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утв. </w:t>
      </w:r>
      <w:hyperlink r:id="rId8" w:anchor="/document/71275174/entry/0" w:history="1">
        <w:r w:rsidRPr="009F1F96">
          <w:rPr>
            <w:rFonts w:ascii="Times New Roman" w:eastAsia="Times New Roman" w:hAnsi="Times New Roman" w:cs="Times New Roman"/>
            <w:color w:val="734C9B"/>
            <w:sz w:val="32"/>
            <w:szCs w:val="32"/>
            <w:lang w:eastAsia="ru-RU"/>
          </w:rPr>
          <w:t>приказом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 Министерства образования и науки РФ от 9 ноября 2015 г. N 1309)</w:t>
      </w:r>
    </w:p>
    <w:p w:rsidR="009F1F96" w:rsidRPr="009F1F96" w:rsidRDefault="009F1F96" w:rsidP="009F1F96">
      <w:pPr>
        <w:pBdr>
          <w:bottom w:val="dashed" w:sz="6" w:space="0" w:color="auto"/>
        </w:pBd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</w:pPr>
      <w:r w:rsidRPr="009F1F96">
        <w:rPr>
          <w:rFonts w:ascii="Times New Roman" w:eastAsia="Times New Roman" w:hAnsi="Times New Roman" w:cs="Times New Roman"/>
          <w:b/>
          <w:bCs/>
          <w:color w:val="3272C0"/>
          <w:sz w:val="24"/>
          <w:szCs w:val="24"/>
          <w:lang w:eastAsia="ru-RU"/>
        </w:rPr>
        <w:t>С изменениями и дополнениями от:</w:t>
      </w:r>
    </w:p>
    <w:p w:rsidR="009F1F96" w:rsidRPr="009F1F96" w:rsidRDefault="009F1F96" w:rsidP="009F1F96">
      <w:pPr>
        <w:shd w:val="clear" w:color="auto" w:fill="F0E9D3"/>
        <w:spacing w:after="0"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9" w:anchor="/document/71481102/entry/1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Приказом</w:t>
        </w:r>
      </w:hyperlink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 </w:t>
      </w:r>
      <w:proofErr w:type="spellStart"/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Минобрнауки</w:t>
      </w:r>
      <w:proofErr w:type="spellEnd"/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 xml:space="preserve"> России от 18 августа 2016 г. N 1065 в пункт 1 внесены изменения</w:t>
      </w:r>
    </w:p>
    <w:p w:rsidR="009F1F96" w:rsidRPr="009F1F96" w:rsidRDefault="009F1F96" w:rsidP="009F1F96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hyperlink r:id="rId10" w:anchor="/document/57416250/entry/101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См. текст пункта в предыдущей редакции</w:t>
        </w:r>
      </w:hyperlink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Порядок обеспечения условий доступности для инвалидов объектов и предоставляемых услуг в сфере образования, а также оказания им при этом необходимой помощи определяет правила обеспечения условий доступности для инвалидов объектов (административные здания, строения, сооружения и помещения) (далее - объекты) Министерства образования и науки Российской Федерации, Федеральной службы по надзору в сфере образования и науки, Федерального агентства по делам молодежи, органов государственной власти субъектов Российской Федерации, осуществляющих государственное управление в сфере образования, органов местного самоуправления, осуществляющих управление в сфере образования (далее - органы), подведомственных органам организаций, независимо от их организационно-правовых </w:t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форм (далее - организации); услуг в сфере образования, предоставляемых органами и организациями в соответствии с </w:t>
      </w:r>
      <w:hyperlink r:id="rId11" w:anchor="/document/12177515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Федеральным законом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от 27 июля 2010 г. N 210-ФЗ "Об организации предоставления государственных и муниципальных услуг" (Собрание законодательства Российской Федерации, 2010, N 31, ст. 4179; 2011, N 15, ст. 2038; N 27, ст. 3873, ст. 3880; N 29, ст. 4291; N 30, ст. 4587; N 49, ст. 7061; 2012, N 31, ст. 4322; 2013, N 14, ст. 1651; N 27, ст. 3477, 3480; N 30, ст. 4084; N 51, ст. 6679; N 52, ст. 6952, 6961, 7009; 2014, N 26, ст. 3366; N 30, ст. 4264; 2015, N 1, ст. 67, 72; N 29, ст. 4342) (далее - услуги в сфере образования), а также оказания инвалидам при этом необходимой помощи в преодолении барьеров, мешающих получению услуг в сфере образования и использованию объектов наравне с другими лицами.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Руководители органов и организаций, предоставляющих услуги в сфере образования, в пределах установленных полномочий организуют инструктирование или обучение специалистов, работающих с инвалидами по вопросам, связанным с обеспечением доступности для инвалидов объектов и услуг в сфере образования с учетом имеющихся у них стойких расстройств функций организма и ограничений жизнедеятельности.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3. Руководителями органов и организаций, предоставляющих услуги в сфере образования, обеспечивается 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возможность беспрепятственного входа в объекты и выхода из них;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б) 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ассистивных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вспомогательных технологий, а также сменного кресла-коляски;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сопровождение инвалидов, имеющих стойкие нарушения функции зрения, и возможность самостоятельного передвижения по территории объекта;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 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ж) 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 </w:t>
      </w:r>
      <w:hyperlink r:id="rId12" w:anchor="/document/71145140/entry/100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форме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 в порядке, утвержденных </w:t>
      </w:r>
      <w:hyperlink r:id="rId13" w:anchor="/document/71145140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приказом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труда и социальной защиты Российской Федерации от 22 июня 2015 г. N 386н (зарегистрирован Министерством юстиции Российской Федерации 21 июля 2015 г., регистрационный N 38115).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Руководителями органов и организаций, предоставляющих услуги в сфере образования, обеспечивается создание инвалидам следующих условий доступности услуг в соответствии с требованиями, установленными законодательными и иными нормативными правовыми актами: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а) наличие при входе в объект вывески с названием организации, графиком работы организации, плана здания, выполненных рельефно-точечным шрифтом Брайля и на контрастном фоне;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в) предоставление инвалидам по слуху, при необходимости, услуги с использованием русского жестового языка, включая обеспечение допуска на объект 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сурдопереводчика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тифлопереводчика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наличие в одном из помещений, предназначенных для проведения массовых мероприятий, индукционных петель и звукоусиливающей аппаратуры;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адаптация официального сайта органа и организации, предоставляющих услуги в сфере образования, для лиц с нарушением зрения (слабовидящих);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е) обеспечение предоставления услуг 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тьютора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организацией, предоставляющей услуги в сфере образования, на основании соответствующей рекомендации в заключении психолого-медико-педагогической комиссии или индивидуальной программе реабилитации инвалида;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ж) предоставление бесплатно учебников и учебных пособий, иной учебной литературы, а также специальных технических средств обучения коллективного и индивидуального пользования;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з) оказание работниками органов и организаций, предоставляющих услуги в сфере образования, иной необходимой инвалидам помощи в преодолении барьеров, мешающих получению услуг в сфере образования и использованию объектов наравне с другими лицами;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 условия доступности услуг в сфере образования для инвалидов, предусмотренные: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4" w:anchor="/document/70426772/entry/100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Порядком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организации и осуществления образовательной деятельности по образовательным программам среднего профессионального образования, утвержденным </w:t>
      </w:r>
      <w:hyperlink r:id="rId15" w:anchor="/document/70426772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приказом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образования и науки Российской Федерации от 14 июня 2013 г. N 464 (зарегистрирован Министерством юстиции Российской Федерации 30 июля 2013 г., регистрационный N 29200), с изменениями, внесенными приказами Министерства образования и науки Российской Федерации </w:t>
      </w:r>
      <w:hyperlink r:id="rId16" w:anchor="/document/70611018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от 22 января 2014 г. N 31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(зарегистрирован Министерством юстиции Российской Федерации 7 марта 2014 г., регистрационный N 31539) и </w:t>
      </w:r>
      <w:hyperlink r:id="rId17" w:anchor="/document/70843026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от 15 декабря 2014 г. N 1580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(зарегистрирован Министерством юстиции Российской Федерации 15 января 2015 г., регистрационный N 35545);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18" w:anchor="/document/70524884/entry/100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Порядком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организации и осуществления образовательной деятельности по дополнительным общеобразовательным программам, утвержденным </w:t>
      </w:r>
      <w:hyperlink r:id="rId19" w:anchor="/document/70524884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приказом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образования и науки Российской Федерации от 29 августа 2013 г. N 1008 (зарегистрирован Министерством юстиции Российской Федерации 27 ноября 2013 г., регистрационный N 30468);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0" w:anchor="/document/70464980/entry/100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Порядком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</w:t>
      </w:r>
      <w:hyperlink r:id="rId21" w:anchor="/document/70464980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приказом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образования и науки Российской Федерации от 30 августа 2013 г. N 1014 (зарегистрирован Министерством юстиции Российской Федерации 26 сентября 2013 г., регистрационный N 30038);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2" w:anchor="/document/70466462/entry/100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Порядком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 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begin"/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instrText xml:space="preserve"> HYPERLINK "http://ivo.garant.ru/" \l "/document/70466462/entry/0" </w:instrText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separate"/>
      </w:r>
      <w:r w:rsidRPr="009F1F96">
        <w:rPr>
          <w:rFonts w:ascii="Times New Roman" w:eastAsia="Times New Roman" w:hAnsi="Times New Roman" w:cs="Times New Roman"/>
          <w:color w:val="734C9B"/>
          <w:sz w:val="23"/>
          <w:szCs w:val="23"/>
          <w:lang w:eastAsia="ru-RU"/>
        </w:rPr>
        <w:t>приказом</w:t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fldChar w:fldCharType="end"/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Министерства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образования и науки Российской Федерации от 30 августа 2013 г. N 1015 (зарегистрирован Министерством юстиции Российской Федерации 1 октября 2013 г., регистрационный N 30067), с изменениями, внесенными приказами Министерства образования и науки Российской Федерации </w:t>
      </w:r>
      <w:hyperlink r:id="rId23" w:anchor="/document/70588000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от 13 декабря 2013 г. N 1342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(зарегистрирован Министерством юстиции Российской Федерации 7 февраля 2014 г., регистрационный N 31250), </w:t>
      </w:r>
      <w:hyperlink r:id="rId24" w:anchor="/document/70712256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от 28 мая 2014 г. N 598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(зарегистрирован Министерством юстиции Российской Федерации 1 августа 2014 г., регистрационный N 33406) и </w:t>
      </w:r>
      <w:hyperlink r:id="rId25" w:anchor="/document/71162640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от 17 июля 2015 г. N 734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(зарегистрирован Министерством юстиции Российской Федерации 13 августа 2015 г., регистрационный N 38490);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26" w:anchor="/document/70603294/entry/100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Порядком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 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бакалавриата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, программам 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специалитета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программам магистратуры, утвержденным </w:t>
      </w:r>
      <w:hyperlink r:id="rId27" w:anchor="/document/70603294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приказом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образования и науки Российской Федерации от 19 декабря 2013 г. N 1367 (зарегистрирован Министерством юстиции Российской Федерации 24 февраля 2014 г., регистрационный N 31402), с изменениями, внесенными </w:t>
      </w:r>
      <w:hyperlink r:id="rId28" w:anchor="/document/70866630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приказом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Министерства образования и науки Российской Федерации от 15 января 2015 г. N 7 (зарегистрирован Министерством юстиции Российской Федерации 11 февраля 2015 г., регистрационный N 35965).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Органами и организациями, предоставляющими услуги в сфере образования, осуществляются меры по обеспечению проектирования, строительства и приемки с 1 июля 2016 г. вновь вводимых в эксплуатацию, а также прошедших капитальный ремонт, реконструкцию, модернизацию объектов, в которых осуществляется предоставление услуг, а также по обеспечению закупки с 1 июля 2016 г. транспортных средств для обслуживания населения с соблюдением требований к их доступности для инвалидов, установленных </w:t>
      </w:r>
      <w:hyperlink r:id="rId29" w:anchor="/document/10164504/entry/15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статьей 15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1998, N 31, ст. 3803; 1999, N 2, ст. 232; N 29, ст. 3693; 2001, N 24, ст. 2410; N 33, ст. 3426; N 53, ст. 5024; 2002, N 1, ст. 2; N 22, ст. 2026; 2003, N 2, ст. 167; N 43, ст. 4108; 2004, N 35, ст. 3607; 2005, N 1, ст. 25; 2006, N 1, ст. 10; 2007, N 43, ст. 5084; N 49, ст. 6070; 2008, N 9, ст. 817; N 29, ст. 3410; N 30, ст. 3616; N 52, ст. 6224; 2009, N 18, ст. 2152; N 30, ст. 3739; 2010, N 50, ст. 6609; 2011, N 27, ст. 3880; N 30, ст. 4596; N 45, ст. 6329; N 47, ст. 6608; N 49, ст. 7033; 2012, N 29, ст. 3990; N 30, ст. 4175; N 53, ст. 7621; 2013, N 8, ст. 717; N 19, ст. 2331; N 27, ст. 3460, ст. 3475, ст. 3477; N 48, ст. 6160; N 52, ст. 6986; 2014, N 26, ст. 3406; N 30, ст. 4268; N 49, ст. 6928; 2015, N 14, ст. 2008; N 27, ст. 3967), а также норм и правил, предусмотренных </w:t>
      </w:r>
      <w:hyperlink r:id="rId30" w:anchor="/document/70835592/entry/48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пунктом 41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 </w:t>
      </w:r>
      <w:hyperlink r:id="rId31" w:anchor="/document/70835592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постановлением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26 декабря 2014 г. N 1521 (Собрание законодательства Российской Федерации, 2015, N 2, ст. 465).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6. Органы и организации, предоставляющие услуги в сфере образования в арендуемых для предоставления услуг объектах, которые невозможно полностью приспособить с учетом потребностей инвалидов, принимают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7. Органы и организации, предоставляющие услуги в сфере образования, в целях определения мер по поэтапному повышению уровня доступности для инвалидов объектов и предоставляемых услуг проводят обследование данных объектов и предоставляемых услуг, по </w:t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результатам которого составляется паспорт доступности для инвалидов объекта и услуг (далее, соответственно, - обследование и паспортизация, Паспорт доступности).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8. Паспорт доступности содержит следующие разделы: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краткая характеристика объекта и предоставляемых на нем услуг;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оценка соответствия уровня доступности для инвалидов объекта и имеющихся недостатков в обеспечении условий его доступности для инвалидов с использованием показателей, предусмотренных </w:t>
      </w:r>
      <w:hyperlink r:id="rId32" w:anchor="/document/71275174/entry/111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пунктом 11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оценка соответствия уровня доступности для инвалидов предоставляемых услуг и имеющихся недостатков в обеспечении условий их доступности для инвалидов с использованием показателей, предусмотренных </w:t>
      </w:r>
      <w:hyperlink r:id="rId33" w:anchor="/document/71275174/entry/112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пунктом 12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г) управленческие решения по срокам и объемам работ, необходимых для приведения объекта и порядка предоставления на нем услуг в соответствие с требованиями законодательства Российской Федерации.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9. Для проведения обследования и паспортизации распорядительным актом органа или организации, предоставляющих услуги в сфере образования, создается комиссия по проведению обследования и паспортизации объекта и предоставляемых на нем услуг (далее - Комиссия), утверждаются ее состав, план-график проведения обследования и паспортизации, а также организуется работа Комиссии.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10. В состав Комиссии включаются (по согласованию) представители общественных объединений инвалидов, осуществляющих свою деятельность на территории поселения, муниципального района, городского округа, где расположен объект, на котором планируется проведение обследования и паспортизации.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11. Оценка соответствия уровня обеспечения доступности для инвалидов объектов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удельный вес введенных с 1 июля 2016 г. в эксплуатацию объектов (зданий, помещений), в которых предоставляются услуги в сфере образования, а также используемых для перевозки инвалидов транспортных средств, полностью соответствующих требованиям доступности для инвалидов, от общего количества вновь вводимых объектов и используемых для перевозки инвалидов транспортных средств;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б) удельный вес существующих объектов, которые в результате проведения после 1 июля 2016 г. на них капитального ремонта, реконструкции, модернизации полностью соответствуют требованиям доступности для инвалидов объектов и услуг, от общего количества объектов, прошедших капитальный ремонт, реконструкцию, модернизацию;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удельный вес существующих объектов, на которых до проведения капитального ремонта или реконструкции обеспечивается доступ инвалидов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инвалида, от общего количества объектов, на которых в настоящее время невозможно полностью обеспечить доступность с учетом потребностей инвалидов;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г) удельный вес объектов, на которых обеспечиваются условия индивидуальной мобильности инвалидов и возможность для самостоятельного их передвижения по объекту, от общего </w:t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количества объектов, на которых инвалидам предоставляются услуги, в том числе, на которых имеются: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выделенные стоянки автотранспортных средств для инвалидов;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сменные кресла-коляски;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адаптированные лифты;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поручни;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пандусы;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подъемные платформы (аппарели);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раздвижные двери;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доступные входные группы;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доступные санитарно-гигиенические помещения;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достаточная ширина дверных проемов в стенах, лестничных маршей, площадок от общего количества объектов, на которых инвалидам предоставляются услуги в сфере образования;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д) удельный вес объектов с надлежащим размещением оборудования и носителей информации, необходимых для обеспечения беспрепятственного доступа к объектам (местам предоставления услуг) с учетом ограничений жизнедеятельности инвалида, а также надписей, знаков и иной текстовой и графической информации, выполненной рельефно-точечным шрифтом Брайля и на контрастном фоне, от общего количества объектов, на которых инвалидам предоставляются услуги в сфере образования;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 удельный вес объектов в сфере образования, имеющих утвержденные Паспорта доступности, от общего количества объектов, на которых предоставляются услуги в сфере образования.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12. Оценка соответствия уровня обеспечения доступности для инвалидов услуг осуществляется с использованием следующих показателей доступности для инвалидов объектов и предоставляемых услуг в сфере образования: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а) удельный вес объектов, в которых одно из помещений, предназначенных для проведения массовых мероприятий, оборудовано индукционной петлей и звукоусиливающей аппаратурой, от общего количества объектов, на которых инвалидам предоставляются услуги в сфере образования;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б) удельный вес услуг в сфере образования, предоставляемых с использованием русского жестового языка, допуском 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сурдопереводчика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и 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тифлосурдопереводчика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от общего количества предоставляемых услуг в сфере образования;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в) доля работников органов и организаций, предоставляющих услуги в сфере образования, прошедших инструктирование или обучение для работы с инвалидами по вопросам, связанным с обеспечением доступности для инвалидов объектов и услуг в сфере образования в соответствии с </w:t>
      </w:r>
      <w:hyperlink r:id="rId34" w:anchor="/document/10164504/entry/15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законодательством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Российской Федерации и законодательством субъектов Российской Федерации, от общего числа работников органов и организаций, предоставляющих услуги в сфере образования;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г) удельный вес услуг в сфере образования, предоставляемых инвалидам с сопровождением ассистента-помощника, от общего количества предоставляемых услуг в сфере образования;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д) удельный вес услуг в сфере образования, предоставляемых инвалидам с сопровождением </w:t>
      </w:r>
      <w:proofErr w:type="spellStart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тьютора</w:t>
      </w:r>
      <w:proofErr w:type="spellEnd"/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от общего количества предоставляемых услуг в сфере образования;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е) доля педагогических работников дошкольных образовательных организаций и общеобразовательных организаций, имеющих образование и (или) квалификацию, позволяющие осуществлять обучение по адаптированным основным общеобразовательным программам, от общего числа педагогических работников дошкольных образовательных организаций и общеобразовательных организаций;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ж) доля детей-инвалидов в возрасте от 5 до 18 лет, получающих дополнительное образование, от общего числа детей-инвалидов данного возраста;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з) доля детей-инвалидов в возрасте от 1,5 до 7 лет, охваченных дошкольным образованием, от общего числа детей-инвалидов данного возраста;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и) доля детей-инвалидов, которым созданы условия для получения качественного общего образования, от общего числа детей-инвалидов школьного возраста;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к) удельный вес органов и организаций, предоставляющих услуги в сфере образования, официальный сайт которых адаптирован для лиц с нарушением зрения (слабовидящих).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13. По результатам обследования объекта и предоставляемых на нем услуг Комиссией для включения в Паспорт доступности разрабатываются (с учетом положений об обеспечении "разумного приспособления" </w:t>
      </w:r>
      <w:hyperlink r:id="rId35" w:anchor="/document/2565085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Конвенции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о правах инвалидов от 13 декабря 2006 г. (Собрание законодательства Российской Федерации 2013, N 6, ст. 468) предложения по принятию управленческих решений, в том числе: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созданию (с учетом потребностей инвалидов) условий доступности существующего объекта и предоставляемых услуг в соответствии с </w:t>
      </w:r>
      <w:hyperlink r:id="rId36" w:anchor="/document/10164504/entry/1505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частью 4 статьи 15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1998, N 31, ст. 3803; 1999, N 2, ст. 232; N 29, ст. 3693; 2001, N 24, ст. 2410; N 33, ст. 3426; N 53, ст. 5024; 2002, N 1, ст. 2; N 22, ст. 2026; 2003, N 2, ст. 167; N 43, ст. 4108; 2004, N 35, ст. 3607; 2005, N 1, ст. 25; 2006, N 1, ст. 10; 2007, N 43, ст. 5084; N 49, ст. 6070; 2008, N 9, ст. 817; N 29, ст. 3410; N 30, ст. 3616; N 52, ст. 6224; 2009, N 18, ст. 2152; N 30, ст. 3739; 2010, N 50, ст. 6609; 2011, N 27, ст. 3880; N 30, ст. 4596; N 45, ст. 6329; N 47, ст. 6608; N 49, ст. 7033; 2012, N 29, ст. 3990; N 30, ст. 4175; N 53, ст. 7621; 2013, N 8, ст. 717; N 19, ст. 2331; N 27, ст. 3460, ст. 3475, ст. 3477; N 48, ст. 6160; N 52, ст. 6986; 2014, N 26, ст. 3406; N 30, ст. 4268; N 49, ст. 6928; 2015, N 14, ст. 2008; N 27, ст. 3967) в случае невозможности полностью приспособить объект с учетом потребностей инвалидов до его реконструкции или капитального ремонта;</w:t>
      </w:r>
    </w:p>
    <w:p w:rsidR="009F1F96" w:rsidRPr="009F1F96" w:rsidRDefault="009F1F96" w:rsidP="009F1F96">
      <w:pPr>
        <w:shd w:val="clear" w:color="auto" w:fill="F0E9D3"/>
        <w:spacing w:line="240" w:lineRule="auto"/>
        <w:jc w:val="both"/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По-видимому, в тексте предыдущего абзаца и далее по тексту допущена опечатка. Вместо "частью 4 статьи 15" имеется в виду "</w:t>
      </w:r>
      <w:hyperlink r:id="rId37" w:anchor="/document/10164504/entry/1505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частью 5 статьи 15</w:t>
        </w:r>
      </w:hyperlink>
      <w:r w:rsidRPr="009F1F96">
        <w:rPr>
          <w:rFonts w:ascii="Times New Roman" w:eastAsia="Times New Roman" w:hAnsi="Times New Roman" w:cs="Times New Roman"/>
          <w:color w:val="464C55"/>
          <w:sz w:val="23"/>
          <w:szCs w:val="23"/>
          <w:lang w:eastAsia="ru-RU"/>
        </w:rPr>
        <w:t>"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по определению мероприятий, учитываемых в планах развития объекта, в сметах его капитального и текущего ремонта, реконструкции, модернизации, в графиках переоснащения объекта и закупки нового оборудования, в целях повышения уровня его доступности и условий для предоставления на нем услуг с учетом потребностей инвалидов;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 включению в технические задания на разработку проектно-сметной документации по проектированию, строительству, оснащению приспособлениями и оборудованием вновь </w:t>
      </w: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вводимых в эксплуатацию объектов, на которых предоставляются услуги в сфере образования, условий, обеспечивающих их полное соответствие требованиям доступности объектов для инвалидов с 1 июля 2016 г.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14. Паспорт доступности организации, разработанный Комиссией, утверждается руководителем организации и представляется в течение 10 рабочих дней после утверждения: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муниципальными организациями - в орган местного самоуправления, на территории которого ими осуществляется деятельность;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государственными организациями, находящимися в ведении органов государственной власти субъектов Российской Федерации, осуществляющих государственное управление в сфере образования, - в органы государственной власти субъектов Российской Федерации, осуществляющие государственное управление в сфере образования;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федеральными государственными организациями - в федеральные государственные органы, осуществляющие функции учредителя указанных организаций.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Паспорт доступности органа утверждается руководителем органа.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15. В случае предоставления услуги в арендуемом помещении (здании) или с использованием арендуемого транспортного средства в состав Комиссии включается представитель собственника арендуемого помещения (здания) или транспортного средства, а в предложениях по повышению уровня доступности объекта учитываются его предложения, которые вытекают из обязанности собственника обеспечивать условия доступности для инвалидов объектов и услуг в соответствии с </w:t>
      </w:r>
      <w:hyperlink r:id="rId38" w:anchor="/document/10164504/entry/1505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частью 4 статьи 15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Федерального закона от 24 ноября 1995 г. N 181-ФЗ "О социальной защите инвалидов в Российской Федерации" (Собрание законодательства Российской Федерации, 1995, N 48, ст. 4563; 1998, N 31, ст. 3803; 1999, N 2, ст. 232; N 29, ст. 3693; 2001, N 24, ст. 2410; N 33, ст. 3426; N 53, ст. 5024; 2002, N 1, ст. 2; N 22, ст. 2026; 2003, N 2, ст. 167; N 43, ст. 4108; 2004, N 35, ст. 3607; 2005, N 1, ст. 25; 2006, N 1, ст. 10; 2007, N 43, ст. 5084; N 49, ст. 6070; 2008, N 9, ст. 817; N 29, ст. 3410; N 30, ст. 3616; N 52, ст. 6224; 2009, N 18, ст. 2152; N 30, ст. 3739; 2010, N 50, ст. 6609; 2011, N 27, ст. 3880; N 30, ст. 4596; N 45, ст. 6329; N 47, ст. 6608; N 49, ст. 7033; 2012, N 29, ст. 3990; N 30, ст. 4175; N 53, ст. 7621; 2013, N 8, ст. 717; N 19, ст. 2331; N 27, ст. 3460, ст. 3475, ст. 3477; N 48, ст. 6160; N 52, ст. 6986; 2014, N 26, ст. 3406; N 30, ст. 4268; N 49, ст. 6928; 2015, N 14, ст. 2008; N 27, ст. 3967).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16. Органы и организации, предоставляющие услуги в сфере образования, с использованием показателей, предусмотренных </w:t>
      </w:r>
      <w:hyperlink r:id="rId39" w:anchor="/document/71275174/entry/111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пунктами 11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и </w:t>
      </w:r>
      <w:hyperlink r:id="rId40" w:anchor="/document/71275174/entry/112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12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настоящего Порядка, а также на основании представленных Паспортов доступности разрабатывают и утверждают планы мероприятий (далее - дорожные карты) по повышению значений показателей доступности для инвалидов объектов и услуг в соответствии с </w:t>
      </w:r>
      <w:hyperlink r:id="rId41" w:anchor="/document/71095198/entry/100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Правилами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и услуг в установленных сферах деятельности, утвержденными </w:t>
      </w:r>
      <w:hyperlink r:id="rId42" w:anchor="/document/71095198/entry/0" w:history="1">
        <w:r w:rsidRPr="009F1F96">
          <w:rPr>
            <w:rFonts w:ascii="Times New Roman" w:eastAsia="Times New Roman" w:hAnsi="Times New Roman" w:cs="Times New Roman"/>
            <w:color w:val="734C9B"/>
            <w:sz w:val="23"/>
            <w:szCs w:val="23"/>
            <w:lang w:eastAsia="ru-RU"/>
          </w:rPr>
          <w:t>постановлением</w:t>
        </w:r>
      </w:hyperlink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Правительства Российской Федерации от 17 июня 2015 г. N 599 (Собрание законодательства Российской Федерации, 2015, N 26, ст. 3894).</w:t>
      </w:r>
    </w:p>
    <w:p w:rsidR="009F1F96" w:rsidRPr="009F1F96" w:rsidRDefault="009F1F96" w:rsidP="009F1F9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9F1F96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17. Дорожные карты, разработанные и утвержденные Федеральной службой по надзору в сфере образования и науки и Федеральным агентством по делам молодежи, представляются в Министерство образования и науки Российской Федерации.</w:t>
      </w:r>
    </w:p>
    <w:p w:rsidR="004F47FF" w:rsidRDefault="004F47FF"/>
    <w:sectPr w:rsidR="004F4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E7"/>
    <w:rsid w:val="00113FE7"/>
    <w:rsid w:val="004F47FF"/>
    <w:rsid w:val="009F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C225D-8481-4A52-9093-4755A5F5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F1F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F1F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1F96"/>
    <w:rPr>
      <w:color w:val="0000FF"/>
      <w:u w:val="single"/>
    </w:rPr>
  </w:style>
  <w:style w:type="paragraph" w:customStyle="1" w:styleId="s1">
    <w:name w:val="s_1"/>
    <w:basedOn w:val="a"/>
    <w:rsid w:val="009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9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F1F96"/>
  </w:style>
  <w:style w:type="paragraph" w:customStyle="1" w:styleId="s22">
    <w:name w:val="s_22"/>
    <w:basedOn w:val="a"/>
    <w:rsid w:val="009F1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6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14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630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8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8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849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26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29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ivo.garant.ru/" TargetMode="External"/><Relationship Id="rId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://ivo.garant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4190</Words>
  <Characters>23885</Characters>
  <Application>Microsoft Office Word</Application>
  <DocSecurity>0</DocSecurity>
  <Lines>199</Lines>
  <Paragraphs>56</Paragraphs>
  <ScaleCrop>false</ScaleCrop>
  <Company>DNS</Company>
  <LinksUpToDate>false</LinksUpToDate>
  <CharactersWithSpaces>28019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AOPА-2000</dc:creator>
  <cp:keywords/>
  <dc:description/>
  <cp:lastModifiedBy>AOPА-2000</cp:lastModifiedBy>
  <cp:revision>2</cp:revision>
  <dcterms:created xsi:type="dcterms:W3CDTF">2019-02-17T12:27:00Z</dcterms:created>
  <dcterms:modified xsi:type="dcterms:W3CDTF">2019-02-17T12:27:00Z</dcterms:modified>
</cp:coreProperties>
</file>